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jc w:val="right"/>
              <w:rPr>
                <w:rFonts w:ascii="Arial Narrow" w:hAnsi="Arial Narrow"/>
                <w:b/>
                <w:color w:val="000000"/>
                <w:sz w:val="40"/>
                <w:szCs w:val="40"/>
                <w:lang w:val="es-CL"/>
              </w:rPr>
            </w:pPr>
            <w:r w:rsidRPr="001F7BFD">
              <w:rPr>
                <w:rFonts w:ascii="Arial Narrow" w:hAnsi="Arial Narrow"/>
                <w:b/>
                <w:color w:val="000000"/>
                <w:sz w:val="40"/>
                <w:szCs w:val="40"/>
                <w:lang w:val="es-CL"/>
              </w:rPr>
              <w:t>MECANISMO DE DISTRIBUCION DE COBRO</w:t>
            </w:r>
          </w:p>
          <w:p w:rsidR="00551E0B" w:rsidRPr="001F7BFD" w:rsidRDefault="00551E0B">
            <w:pPr>
              <w:spacing w:line="276" w:lineRule="auto"/>
              <w:jc w:val="right"/>
              <w:rPr>
                <w:rFonts w:ascii="Arial Narrow" w:hAnsi="Arial Narrow"/>
                <w:b/>
                <w:sz w:val="24"/>
                <w:lang w:val="es-CL"/>
              </w:rPr>
            </w:pPr>
          </w:p>
        </w:tc>
      </w:tr>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ind w:right="-170"/>
              <w:jc w:val="right"/>
              <w:rPr>
                <w:lang w:val="es-CL"/>
              </w:rPr>
            </w:pPr>
          </w:p>
        </w:tc>
      </w:tr>
    </w:tbl>
    <w:p w:rsidR="00551E0B" w:rsidRPr="001F7BFD" w:rsidRDefault="00551E0B" w:rsidP="00551E0B">
      <w:pPr>
        <w:rPr>
          <w:rFonts w:cs="Arial"/>
          <w:lang w:val="es-CL"/>
        </w:rPr>
      </w:pPr>
      <w:r w:rsidRPr="001F7BFD">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lastRenderedPageBreak/>
              <w:t>Registro de las revisiones</w:t>
            </w: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rPr>
                <w:rFonts w:cs="Arial"/>
                <w:sz w:val="22"/>
                <w:lang w:val="es-CL"/>
              </w:rPr>
            </w:pPr>
            <w:r w:rsidRPr="001F7BFD">
              <w:rPr>
                <w:rFonts w:cs="Arial"/>
                <w:sz w:val="22"/>
                <w:lang w:val="es-CL"/>
              </w:rPr>
              <w:t>Versión</w:t>
            </w:r>
          </w:p>
        </w:tc>
        <w:tc>
          <w:tcPr>
            <w:tcW w:w="1736" w:type="dxa"/>
          </w:tcPr>
          <w:p w:rsidR="0048020D" w:rsidRPr="001F7BFD" w:rsidRDefault="0048020D" w:rsidP="00C64F8A">
            <w:pPr>
              <w:rPr>
                <w:rFonts w:cs="Arial"/>
                <w:sz w:val="22"/>
                <w:lang w:val="es-CL"/>
              </w:rPr>
            </w:pPr>
            <w:r w:rsidRPr="001F7BFD">
              <w:rPr>
                <w:rFonts w:cs="Arial"/>
                <w:sz w:val="22"/>
                <w:lang w:val="es-CL"/>
              </w:rPr>
              <w:t xml:space="preserve">Fecha de </w:t>
            </w:r>
            <w:r w:rsidR="001F7BFD" w:rsidRPr="001F7BFD">
              <w:rPr>
                <w:rFonts w:cs="Arial"/>
                <w:sz w:val="22"/>
                <w:lang w:val="es-CL"/>
              </w:rPr>
              <w:t>Rev.</w:t>
            </w:r>
          </w:p>
        </w:tc>
        <w:tc>
          <w:tcPr>
            <w:tcW w:w="5283" w:type="dxa"/>
          </w:tcPr>
          <w:p w:rsidR="0048020D" w:rsidRPr="001F7BFD" w:rsidRDefault="0048020D" w:rsidP="00C64F8A">
            <w:pPr>
              <w:rPr>
                <w:rFonts w:cs="Arial"/>
                <w:sz w:val="22"/>
                <w:lang w:val="es-CL"/>
              </w:rPr>
            </w:pPr>
            <w:r w:rsidRPr="001F7BFD">
              <w:rPr>
                <w:rFonts w:cs="Arial"/>
                <w:sz w:val="22"/>
                <w:lang w:val="es-CL"/>
              </w:rPr>
              <w:t>Páginas / Artículos revisados</w:t>
            </w:r>
            <w:r w:rsidR="006911A7">
              <w:rPr>
                <w:rFonts w:cs="Arial"/>
                <w:sz w:val="22"/>
                <w:lang w:val="es-CL"/>
              </w:rPr>
              <w:t>.</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jc w:val="center"/>
              <w:rPr>
                <w:rFonts w:cs="Arial"/>
                <w:sz w:val="22"/>
                <w:lang w:val="es-CL"/>
              </w:rPr>
            </w:pPr>
            <w:r w:rsidRPr="001F7BFD">
              <w:rPr>
                <w:rFonts w:cs="Arial"/>
                <w:sz w:val="22"/>
                <w:lang w:val="es-CL"/>
              </w:rPr>
              <w:t>1</w:t>
            </w:r>
          </w:p>
        </w:tc>
        <w:tc>
          <w:tcPr>
            <w:tcW w:w="1736" w:type="dxa"/>
          </w:tcPr>
          <w:p w:rsidR="0048020D" w:rsidRPr="001F7BFD" w:rsidRDefault="000F6122" w:rsidP="006911A7">
            <w:pPr>
              <w:rPr>
                <w:rFonts w:cs="Arial"/>
                <w:sz w:val="22"/>
                <w:lang w:val="es-CL"/>
              </w:rPr>
            </w:pPr>
            <w:r>
              <w:rPr>
                <w:rFonts w:cs="Arial"/>
                <w:sz w:val="22"/>
                <w:lang w:val="es-CL"/>
              </w:rPr>
              <w:t>0</w:t>
            </w:r>
            <w:r w:rsidR="006911A7">
              <w:rPr>
                <w:rFonts w:cs="Arial"/>
                <w:sz w:val="22"/>
                <w:lang w:val="es-CL"/>
              </w:rPr>
              <w:t>5</w:t>
            </w:r>
            <w:r w:rsidR="0048020D" w:rsidRPr="001F7BFD">
              <w:rPr>
                <w:rFonts w:cs="Arial"/>
                <w:sz w:val="22"/>
                <w:lang w:val="es-CL"/>
              </w:rPr>
              <w:t xml:space="preserve"> </w:t>
            </w:r>
            <w:r w:rsidR="006911A7">
              <w:rPr>
                <w:rFonts w:cs="Arial"/>
                <w:sz w:val="22"/>
                <w:lang w:val="es-CL"/>
              </w:rPr>
              <w:t>Ago</w:t>
            </w:r>
            <w:r>
              <w:rPr>
                <w:rFonts w:cs="Arial"/>
                <w:sz w:val="22"/>
                <w:lang w:val="es-CL"/>
              </w:rPr>
              <w:t xml:space="preserve"> 201</w:t>
            </w:r>
            <w:r w:rsidR="006911A7">
              <w:rPr>
                <w:rFonts w:cs="Arial"/>
                <w:sz w:val="22"/>
                <w:lang w:val="es-CL"/>
              </w:rPr>
              <w:t>5</w:t>
            </w:r>
          </w:p>
        </w:tc>
        <w:tc>
          <w:tcPr>
            <w:tcW w:w="5283" w:type="dxa"/>
          </w:tcPr>
          <w:p w:rsidR="0048020D" w:rsidRPr="001F7BFD" w:rsidRDefault="0048020D" w:rsidP="00C64F8A">
            <w:pPr>
              <w:rPr>
                <w:rFonts w:cs="Arial"/>
                <w:sz w:val="22"/>
                <w:lang w:val="es-CL"/>
              </w:rPr>
            </w:pPr>
            <w:r w:rsidRPr="001F7BFD">
              <w:rPr>
                <w:rFonts w:cs="Arial"/>
                <w:sz w:val="22"/>
                <w:lang w:val="es-CL"/>
              </w:rPr>
              <w:t>Documento original</w:t>
            </w:r>
            <w:r w:rsidR="006911A7">
              <w:rPr>
                <w:rFonts w:cs="Arial"/>
                <w:sz w:val="22"/>
                <w:lang w:val="es-CL"/>
              </w:rPr>
              <w:t>.</w:t>
            </w:r>
          </w:p>
        </w:tc>
      </w:tr>
      <w:tr w:rsidR="006911A7" w:rsidRPr="001F7BFD" w:rsidTr="00C64F8A">
        <w:tc>
          <w:tcPr>
            <w:tcW w:w="1804" w:type="dxa"/>
            <w:vMerge/>
            <w:shd w:val="clear" w:color="auto" w:fill="B8CCE4" w:themeFill="accent1" w:themeFillTint="66"/>
          </w:tcPr>
          <w:p w:rsidR="006911A7" w:rsidRPr="001F7BFD" w:rsidRDefault="006911A7" w:rsidP="006911A7">
            <w:pPr>
              <w:rPr>
                <w:rFonts w:cs="Arial"/>
                <w:bCs/>
                <w:kern w:val="32"/>
                <w:sz w:val="22"/>
                <w:lang w:val="es-CL"/>
              </w:rPr>
            </w:pPr>
          </w:p>
        </w:tc>
        <w:tc>
          <w:tcPr>
            <w:tcW w:w="284" w:type="dxa"/>
          </w:tcPr>
          <w:p w:rsidR="006911A7" w:rsidRPr="001F7BFD" w:rsidRDefault="006911A7" w:rsidP="006911A7">
            <w:pPr>
              <w:rPr>
                <w:rFonts w:cs="Arial"/>
                <w:bCs/>
                <w:kern w:val="32"/>
                <w:sz w:val="22"/>
                <w:lang w:val="es-CL"/>
              </w:rPr>
            </w:pPr>
          </w:p>
        </w:tc>
        <w:tc>
          <w:tcPr>
            <w:tcW w:w="962" w:type="dxa"/>
          </w:tcPr>
          <w:p w:rsidR="006911A7" w:rsidRPr="00C662C0" w:rsidRDefault="006911A7" w:rsidP="006911A7">
            <w:pPr>
              <w:jc w:val="center"/>
              <w:rPr>
                <w:rFonts w:cs="Arial"/>
                <w:sz w:val="22"/>
                <w:lang w:val="es-CL"/>
              </w:rPr>
            </w:pPr>
            <w:r w:rsidRPr="00C662C0">
              <w:rPr>
                <w:rFonts w:cs="Arial"/>
                <w:sz w:val="22"/>
                <w:lang w:val="es-CL"/>
              </w:rPr>
              <w:t>2</w:t>
            </w:r>
          </w:p>
        </w:tc>
        <w:tc>
          <w:tcPr>
            <w:tcW w:w="1736" w:type="dxa"/>
          </w:tcPr>
          <w:p w:rsidR="006911A7" w:rsidRPr="00C662C0" w:rsidRDefault="006911A7" w:rsidP="006911A7">
            <w:pPr>
              <w:pStyle w:val="TableParagraph"/>
              <w:spacing w:line="241" w:lineRule="exact"/>
              <w:rPr>
                <w:rFonts w:ascii="Arial" w:hAnsi="Arial" w:cs="Arial"/>
                <w:lang w:val="es-CL"/>
              </w:rPr>
            </w:pPr>
            <w:r w:rsidRPr="00C662C0">
              <w:rPr>
                <w:rFonts w:ascii="Arial" w:hAnsi="Arial" w:cs="Arial"/>
                <w:lang w:val="es-CL"/>
              </w:rPr>
              <w:t>03 Jul 2017</w:t>
            </w:r>
          </w:p>
        </w:tc>
        <w:tc>
          <w:tcPr>
            <w:tcW w:w="5283" w:type="dxa"/>
          </w:tcPr>
          <w:p w:rsidR="006911A7" w:rsidRPr="00C662C0" w:rsidRDefault="006911A7" w:rsidP="006911A7">
            <w:pPr>
              <w:pStyle w:val="TableParagraph"/>
              <w:spacing w:line="241" w:lineRule="exact"/>
              <w:rPr>
                <w:rFonts w:ascii="Arial" w:hAnsi="Arial" w:cs="Arial"/>
                <w:lang w:val="es-CL"/>
              </w:rPr>
            </w:pPr>
            <w:r w:rsidRPr="00C662C0">
              <w:rPr>
                <w:rFonts w:ascii="Arial" w:hAnsi="Arial" w:cs="Arial"/>
                <w:lang w:val="es-CL"/>
              </w:rPr>
              <w:t>Revisión y actualización anual.</w:t>
            </w:r>
          </w:p>
        </w:tc>
      </w:tr>
      <w:tr w:rsidR="006911A7" w:rsidRPr="001F7BFD" w:rsidTr="00C64F8A">
        <w:tc>
          <w:tcPr>
            <w:tcW w:w="1804" w:type="dxa"/>
            <w:vMerge/>
            <w:shd w:val="clear" w:color="auto" w:fill="B8CCE4" w:themeFill="accent1" w:themeFillTint="66"/>
          </w:tcPr>
          <w:p w:rsidR="006911A7" w:rsidRPr="001F7BFD" w:rsidRDefault="006911A7" w:rsidP="006911A7">
            <w:pPr>
              <w:rPr>
                <w:rFonts w:cs="Arial"/>
                <w:bCs/>
                <w:kern w:val="32"/>
                <w:sz w:val="22"/>
                <w:lang w:val="es-CL"/>
              </w:rPr>
            </w:pPr>
          </w:p>
        </w:tc>
        <w:tc>
          <w:tcPr>
            <w:tcW w:w="284" w:type="dxa"/>
          </w:tcPr>
          <w:p w:rsidR="006911A7" w:rsidRPr="001F7BFD" w:rsidRDefault="006911A7" w:rsidP="006911A7">
            <w:pPr>
              <w:rPr>
                <w:rFonts w:cs="Arial"/>
                <w:bCs/>
                <w:kern w:val="32"/>
                <w:sz w:val="22"/>
                <w:lang w:val="es-CL"/>
              </w:rPr>
            </w:pPr>
          </w:p>
        </w:tc>
        <w:tc>
          <w:tcPr>
            <w:tcW w:w="962" w:type="dxa"/>
          </w:tcPr>
          <w:p w:rsidR="006911A7" w:rsidRPr="001F7BFD" w:rsidRDefault="006911A7" w:rsidP="006911A7">
            <w:pPr>
              <w:rPr>
                <w:rFonts w:cs="Arial"/>
                <w:sz w:val="22"/>
                <w:lang w:val="es-CL"/>
              </w:rPr>
            </w:pPr>
          </w:p>
        </w:tc>
        <w:tc>
          <w:tcPr>
            <w:tcW w:w="1736" w:type="dxa"/>
          </w:tcPr>
          <w:p w:rsidR="006911A7" w:rsidRPr="001F7BFD" w:rsidRDefault="006911A7" w:rsidP="006911A7">
            <w:pPr>
              <w:rPr>
                <w:rFonts w:cs="Arial"/>
                <w:sz w:val="22"/>
                <w:lang w:val="es-CL"/>
              </w:rPr>
            </w:pPr>
          </w:p>
        </w:tc>
        <w:tc>
          <w:tcPr>
            <w:tcW w:w="5283" w:type="dxa"/>
          </w:tcPr>
          <w:p w:rsidR="006911A7" w:rsidRPr="001F7BFD" w:rsidRDefault="006911A7" w:rsidP="006911A7">
            <w:pPr>
              <w:rPr>
                <w:rFonts w:cs="Arial"/>
                <w:sz w:val="22"/>
                <w:lang w:val="es-CL"/>
              </w:rPr>
            </w:pP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t>Términos y definiciones</w:t>
            </w: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SC Nuevo Pudahuel</w:t>
            </w:r>
          </w:p>
        </w:tc>
        <w:tc>
          <w:tcPr>
            <w:tcW w:w="5566" w:type="dxa"/>
          </w:tcPr>
          <w:p w:rsidR="0048020D" w:rsidRPr="001F7BFD" w:rsidRDefault="0048020D" w:rsidP="00C64F8A">
            <w:pPr>
              <w:rPr>
                <w:rFonts w:cs="Arial"/>
                <w:sz w:val="22"/>
                <w:lang w:val="es-CL"/>
              </w:rPr>
            </w:pPr>
            <w:r w:rsidRPr="001F7BFD">
              <w:rPr>
                <w:rFonts w:cs="Arial"/>
                <w:sz w:val="22"/>
                <w:lang w:val="es-CL"/>
              </w:rPr>
              <w:t>: Sociedad Concesionaria Nuevo Pudahuel</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bCs/>
                <w:kern w:val="32"/>
                <w:sz w:val="22"/>
                <w:lang w:val="es-CL"/>
              </w:rPr>
              <w:t>BALI</w:t>
            </w:r>
            <w:bookmarkStart w:id="0" w:name="_GoBack"/>
            <w:bookmarkEnd w:id="0"/>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Bases de Licitación de la obra pública fiscal denominada “Aeropuerto Internacional Arturo Merino Benítez de Santiago”</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bCs/>
                <w:kern w:val="32"/>
                <w:sz w:val="22"/>
                <w:lang w:val="es-CL"/>
              </w:rPr>
            </w:pPr>
            <w:r w:rsidRPr="001F7BFD">
              <w:rPr>
                <w:rFonts w:cs="Arial"/>
                <w:sz w:val="22"/>
                <w:lang w:val="es-CL"/>
              </w:rPr>
              <w:t>CUPPS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Passenger Processing System)</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CUSS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Self Service)</w:t>
            </w:r>
          </w:p>
        </w:tc>
      </w:tr>
    </w:tbl>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Objetivo</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C64F8A">
            <w:pPr>
              <w:rPr>
                <w:rFonts w:cs="Arial"/>
                <w:sz w:val="22"/>
                <w:lang w:val="es-CL"/>
              </w:rPr>
            </w:pPr>
            <w:r w:rsidRPr="001F7BFD">
              <w:rPr>
                <w:rFonts w:cs="Arial"/>
                <w:sz w:val="22"/>
                <w:lang w:val="es-CL"/>
              </w:rPr>
              <w:t>Establecer un Mecanismo de Cobro por la utilización del sistema de uso común para el procesamiento de pasajeros en el aeropuerto Internacional de Santiago</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Distribución</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Inspector Fiscal (Procedimiento incluido en el RSO)</w:t>
            </w:r>
          </w:p>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SC Nuevo Pudahuel: Empleados encargados de la actividad</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Default="0048020D" w:rsidP="0048020D">
      <w:pPr>
        <w:rPr>
          <w:rFonts w:cs="Arial"/>
          <w:bCs/>
          <w:kern w:val="32"/>
          <w:sz w:val="22"/>
          <w:szCs w:val="22"/>
          <w:lang w:val="es-CL"/>
        </w:rPr>
      </w:pPr>
    </w:p>
    <w:p w:rsidR="00CD300E" w:rsidRDefault="00CD300E" w:rsidP="0048020D">
      <w:pPr>
        <w:rPr>
          <w:rFonts w:cs="Arial"/>
          <w:bCs/>
          <w:kern w:val="32"/>
          <w:sz w:val="22"/>
          <w:szCs w:val="22"/>
          <w:lang w:val="es-CL"/>
        </w:rPr>
      </w:pPr>
    </w:p>
    <w:p w:rsidR="00CD300E" w:rsidRDefault="00CD300E" w:rsidP="0048020D">
      <w:pPr>
        <w:rPr>
          <w:rFonts w:cs="Arial"/>
          <w:bCs/>
          <w:kern w:val="32"/>
          <w:sz w:val="22"/>
          <w:szCs w:val="22"/>
          <w:lang w:val="es-CL"/>
        </w:rPr>
      </w:pPr>
    </w:p>
    <w:p w:rsidR="00CD300E" w:rsidRDefault="00CD300E" w:rsidP="0048020D">
      <w:pPr>
        <w:rPr>
          <w:rFonts w:cs="Arial"/>
          <w:bCs/>
          <w:kern w:val="32"/>
          <w:sz w:val="22"/>
          <w:szCs w:val="22"/>
          <w:lang w:val="es-CL"/>
        </w:rPr>
      </w:pPr>
    </w:p>
    <w:p w:rsidR="00CD300E" w:rsidRPr="001F7BFD" w:rsidRDefault="00CD300E"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48020D" w:rsidRPr="001F7BFD" w:rsidRDefault="0048020D" w:rsidP="0048020D">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808"/>
        <w:gridCol w:w="2128"/>
        <w:gridCol w:w="3448"/>
        <w:gridCol w:w="2751"/>
      </w:tblGrid>
      <w:tr w:rsidR="00CD300E" w:rsidRPr="00A31982" w:rsidTr="00D802ED">
        <w:trPr>
          <w:trHeight w:val="397"/>
        </w:trPr>
        <w:tc>
          <w:tcPr>
            <w:tcW w:w="892" w:type="pct"/>
            <w:shd w:val="clear" w:color="auto" w:fill="B8CCE4" w:themeFill="accent1" w:themeFillTint="66"/>
            <w:vAlign w:val="center"/>
          </w:tcPr>
          <w:p w:rsidR="00CD300E" w:rsidRPr="00A31982" w:rsidRDefault="00CD300E" w:rsidP="00D802ED">
            <w:pPr>
              <w:rPr>
                <w:rFonts w:ascii="Arial Narrow" w:hAnsi="Arial Narrow"/>
                <w:color w:val="000000" w:themeColor="text1"/>
                <w:szCs w:val="18"/>
                <w:lang w:val="es-CL"/>
              </w:rPr>
            </w:pPr>
            <w:r w:rsidRPr="00A31982">
              <w:rPr>
                <w:rFonts w:ascii="Arial Narrow" w:hAnsi="Arial Narrow"/>
                <w:color w:val="000000" w:themeColor="text1"/>
                <w:szCs w:val="18"/>
                <w:lang w:val="es-CL"/>
              </w:rPr>
              <w:t>Elaborado por</w:t>
            </w:r>
          </w:p>
        </w:tc>
        <w:tc>
          <w:tcPr>
            <w:tcW w:w="1050" w:type="pct"/>
            <w:vAlign w:val="center"/>
          </w:tcPr>
          <w:p w:rsidR="00CD300E" w:rsidRPr="00A31982" w:rsidRDefault="00CD300E" w:rsidP="00D802ED">
            <w:pPr>
              <w:ind w:left="100"/>
              <w:rPr>
                <w:rFonts w:ascii="Arial Narrow" w:hAnsi="Arial Narrow"/>
                <w:sz w:val="20"/>
                <w:szCs w:val="20"/>
                <w:lang w:val="es-CL"/>
              </w:rPr>
            </w:pPr>
            <w:r>
              <w:rPr>
                <w:rFonts w:ascii="Arial Narrow" w:hAnsi="Arial Narrow"/>
                <w:sz w:val="20"/>
                <w:szCs w:val="20"/>
                <w:lang w:val="es-CL"/>
              </w:rPr>
              <w:t>Alberto Becerra</w:t>
            </w:r>
          </w:p>
        </w:tc>
        <w:tc>
          <w:tcPr>
            <w:tcW w:w="1701" w:type="pct"/>
            <w:vAlign w:val="center"/>
          </w:tcPr>
          <w:p w:rsidR="00CD300E" w:rsidRPr="00A31982" w:rsidRDefault="00CD300E" w:rsidP="00D802ED">
            <w:pPr>
              <w:jc w:val="left"/>
              <w:rPr>
                <w:rFonts w:ascii="Arial Narrow" w:hAnsi="Arial Narrow"/>
                <w:color w:val="000000" w:themeColor="text1"/>
                <w:sz w:val="20"/>
                <w:szCs w:val="20"/>
                <w:lang w:val="es-CL"/>
              </w:rPr>
            </w:pPr>
            <w:r>
              <w:rPr>
                <w:rFonts w:ascii="Arial Narrow" w:hAnsi="Arial Narrow"/>
                <w:color w:val="000000" w:themeColor="text1"/>
                <w:sz w:val="20"/>
                <w:szCs w:val="20"/>
                <w:lang w:val="es-CL"/>
              </w:rPr>
              <w:t>Sub Gerente de Operaciones</w:t>
            </w:r>
          </w:p>
        </w:tc>
        <w:tc>
          <w:tcPr>
            <w:tcW w:w="1357" w:type="pct"/>
            <w:vAlign w:val="center"/>
          </w:tcPr>
          <w:p w:rsidR="00CD300E" w:rsidRPr="00A31982" w:rsidRDefault="00CD300E" w:rsidP="00D802ED">
            <w:pPr>
              <w:jc w:val="center"/>
              <w:rPr>
                <w:rFonts w:ascii="Arial Narrow" w:hAnsi="Arial Narrow"/>
                <w:sz w:val="20"/>
                <w:szCs w:val="20"/>
                <w:lang w:val="es-CL"/>
              </w:rPr>
            </w:pPr>
          </w:p>
        </w:tc>
      </w:tr>
      <w:tr w:rsidR="00CD300E" w:rsidRPr="00A31982" w:rsidTr="00D802ED">
        <w:trPr>
          <w:trHeight w:val="397"/>
        </w:trPr>
        <w:tc>
          <w:tcPr>
            <w:tcW w:w="892" w:type="pct"/>
            <w:shd w:val="clear" w:color="auto" w:fill="B8CCE4" w:themeFill="accent1" w:themeFillTint="66"/>
            <w:vAlign w:val="center"/>
          </w:tcPr>
          <w:p w:rsidR="00CD300E" w:rsidRPr="00A31982" w:rsidRDefault="00CD300E" w:rsidP="00D802ED">
            <w:pPr>
              <w:rPr>
                <w:rFonts w:ascii="Arial Narrow" w:hAnsi="Arial Narrow"/>
                <w:color w:val="000000" w:themeColor="text1"/>
                <w:szCs w:val="18"/>
                <w:lang w:val="es-CL"/>
              </w:rPr>
            </w:pPr>
            <w:r w:rsidRPr="00A31982">
              <w:rPr>
                <w:rFonts w:ascii="Arial Narrow" w:hAnsi="Arial Narrow"/>
                <w:color w:val="000000" w:themeColor="text1"/>
                <w:szCs w:val="18"/>
                <w:lang w:val="es-CL"/>
              </w:rPr>
              <w:t>Revisado por</w:t>
            </w:r>
          </w:p>
        </w:tc>
        <w:tc>
          <w:tcPr>
            <w:tcW w:w="1050" w:type="pct"/>
            <w:vAlign w:val="center"/>
          </w:tcPr>
          <w:p w:rsidR="00CD300E" w:rsidRPr="00A31982" w:rsidRDefault="00CD300E" w:rsidP="00D802ED">
            <w:pPr>
              <w:ind w:left="100"/>
              <w:rPr>
                <w:rFonts w:ascii="Arial Narrow" w:hAnsi="Arial Narrow"/>
                <w:sz w:val="20"/>
                <w:szCs w:val="20"/>
                <w:lang w:val="es-CL"/>
              </w:rPr>
            </w:pPr>
            <w:r>
              <w:rPr>
                <w:rFonts w:ascii="Arial Narrow" w:hAnsi="Arial Narrow"/>
                <w:sz w:val="20"/>
                <w:szCs w:val="20"/>
                <w:lang w:val="es-CL"/>
              </w:rPr>
              <w:t>Alberto Becerra</w:t>
            </w:r>
          </w:p>
        </w:tc>
        <w:tc>
          <w:tcPr>
            <w:tcW w:w="1701" w:type="pct"/>
            <w:vAlign w:val="center"/>
          </w:tcPr>
          <w:p w:rsidR="00CD300E" w:rsidRPr="00A31982" w:rsidRDefault="00CD300E" w:rsidP="00D802ED">
            <w:pPr>
              <w:jc w:val="left"/>
              <w:rPr>
                <w:rFonts w:ascii="Arial Narrow" w:hAnsi="Arial Narrow"/>
                <w:color w:val="000000" w:themeColor="text1"/>
                <w:sz w:val="20"/>
                <w:szCs w:val="20"/>
                <w:lang w:val="es-CL"/>
              </w:rPr>
            </w:pPr>
            <w:r>
              <w:rPr>
                <w:rFonts w:ascii="Arial Narrow" w:hAnsi="Arial Narrow"/>
                <w:color w:val="000000" w:themeColor="text1"/>
                <w:sz w:val="20"/>
                <w:szCs w:val="20"/>
                <w:lang w:val="es-CL"/>
              </w:rPr>
              <w:t>Sub Gerente de Operaciones</w:t>
            </w:r>
          </w:p>
        </w:tc>
        <w:tc>
          <w:tcPr>
            <w:tcW w:w="1357" w:type="pct"/>
            <w:vAlign w:val="center"/>
          </w:tcPr>
          <w:p w:rsidR="00CD300E" w:rsidRPr="00A31982" w:rsidRDefault="00CD300E" w:rsidP="00D802ED">
            <w:pPr>
              <w:rPr>
                <w:rFonts w:ascii="Arial Narrow" w:hAnsi="Arial Narrow"/>
                <w:sz w:val="20"/>
                <w:szCs w:val="20"/>
                <w:lang w:val="es-CL"/>
              </w:rPr>
            </w:pPr>
          </w:p>
        </w:tc>
      </w:tr>
      <w:tr w:rsidR="00CD300E" w:rsidRPr="00A31982" w:rsidTr="00D802ED">
        <w:trPr>
          <w:trHeight w:val="397"/>
        </w:trPr>
        <w:tc>
          <w:tcPr>
            <w:tcW w:w="892" w:type="pct"/>
            <w:shd w:val="clear" w:color="auto" w:fill="B8CCE4" w:themeFill="accent1" w:themeFillTint="66"/>
            <w:vAlign w:val="center"/>
          </w:tcPr>
          <w:p w:rsidR="00CD300E" w:rsidRPr="00A31982" w:rsidRDefault="00CD300E" w:rsidP="00D802ED">
            <w:pPr>
              <w:rPr>
                <w:rFonts w:ascii="Arial Narrow" w:hAnsi="Arial Narrow"/>
                <w:color w:val="000000" w:themeColor="text1"/>
                <w:szCs w:val="18"/>
                <w:lang w:val="es-CL"/>
              </w:rPr>
            </w:pPr>
            <w:r w:rsidRPr="00A31982">
              <w:rPr>
                <w:rFonts w:ascii="Arial Narrow" w:hAnsi="Arial Narrow"/>
                <w:color w:val="000000" w:themeColor="text1"/>
                <w:szCs w:val="18"/>
                <w:lang w:val="es-CL"/>
              </w:rPr>
              <w:t>Aprobado por</w:t>
            </w:r>
          </w:p>
        </w:tc>
        <w:tc>
          <w:tcPr>
            <w:tcW w:w="1050" w:type="pct"/>
            <w:vAlign w:val="center"/>
          </w:tcPr>
          <w:p w:rsidR="00CD300E" w:rsidRPr="00A31982" w:rsidRDefault="00CD300E" w:rsidP="00D802ED">
            <w:pPr>
              <w:ind w:left="100"/>
              <w:rPr>
                <w:rFonts w:ascii="Arial Narrow" w:hAnsi="Arial Narrow"/>
                <w:sz w:val="20"/>
                <w:szCs w:val="20"/>
                <w:lang w:val="es-CL"/>
              </w:rPr>
            </w:pPr>
            <w:r w:rsidRPr="00A31982">
              <w:rPr>
                <w:rFonts w:ascii="Arial Narrow" w:hAnsi="Arial Narrow"/>
                <w:sz w:val="20"/>
                <w:szCs w:val="20"/>
                <w:lang w:val="es-CL"/>
              </w:rPr>
              <w:t xml:space="preserve">Antonio </w:t>
            </w:r>
            <w:r>
              <w:rPr>
                <w:rFonts w:ascii="Arial Narrow" w:hAnsi="Arial Narrow"/>
                <w:sz w:val="20"/>
                <w:szCs w:val="20"/>
                <w:lang w:val="es-CL"/>
              </w:rPr>
              <w:t>Mendes</w:t>
            </w:r>
          </w:p>
        </w:tc>
        <w:tc>
          <w:tcPr>
            <w:tcW w:w="1701" w:type="pct"/>
            <w:vAlign w:val="center"/>
          </w:tcPr>
          <w:p w:rsidR="00CD300E" w:rsidRPr="00A31982" w:rsidRDefault="00CD300E" w:rsidP="00D802ED">
            <w:pPr>
              <w:jc w:val="left"/>
              <w:rPr>
                <w:rFonts w:ascii="Arial Narrow" w:hAnsi="Arial Narrow"/>
                <w:sz w:val="20"/>
                <w:szCs w:val="20"/>
                <w:lang w:val="es-CL"/>
              </w:rPr>
            </w:pPr>
            <w:r w:rsidRPr="00A31982">
              <w:rPr>
                <w:rFonts w:ascii="Arial Narrow" w:hAnsi="Arial Narrow"/>
                <w:color w:val="000000" w:themeColor="text1"/>
                <w:sz w:val="20"/>
                <w:szCs w:val="20"/>
                <w:lang w:val="es-CL"/>
              </w:rPr>
              <w:t>Gerente de Operaciones y Mantenimiento</w:t>
            </w:r>
          </w:p>
        </w:tc>
        <w:tc>
          <w:tcPr>
            <w:tcW w:w="1357" w:type="pct"/>
            <w:vAlign w:val="center"/>
          </w:tcPr>
          <w:p w:rsidR="00CD300E" w:rsidRPr="00A31982" w:rsidRDefault="00CD300E" w:rsidP="00D802ED">
            <w:pPr>
              <w:rPr>
                <w:rFonts w:ascii="Arial Narrow" w:hAnsi="Arial Narrow"/>
                <w:sz w:val="20"/>
                <w:szCs w:val="20"/>
                <w:lang w:val="es-CL"/>
              </w:rPr>
            </w:pPr>
          </w:p>
        </w:tc>
      </w:tr>
    </w:tbl>
    <w:p w:rsidR="0048020D" w:rsidRPr="001F7BFD" w:rsidRDefault="0048020D" w:rsidP="0048020D">
      <w:pPr>
        <w:spacing w:after="200" w:line="276" w:lineRule="auto"/>
        <w:jc w:val="left"/>
        <w:rPr>
          <w:rFonts w:cs="Arial"/>
          <w:sz w:val="22"/>
          <w:szCs w:val="22"/>
          <w:highlight w:val="cyan"/>
          <w:lang w:val="es-CL"/>
        </w:rPr>
      </w:pPr>
      <w:r w:rsidRPr="001F7BFD">
        <w:rPr>
          <w:rFonts w:cs="Arial"/>
          <w:sz w:val="22"/>
          <w:szCs w:val="22"/>
          <w:highlight w:val="cyan"/>
          <w:lang w:val="es-CL"/>
        </w:rPr>
        <w:br w:type="page"/>
      </w:r>
    </w:p>
    <w:p w:rsidR="0048020D" w:rsidRPr="001F7BFD" w:rsidRDefault="0048020D" w:rsidP="0048020D">
      <w:pPr>
        <w:pStyle w:val="FC-Titre1"/>
        <w:numPr>
          <w:ilvl w:val="0"/>
          <w:numId w:val="0"/>
        </w:numPr>
        <w:ind w:left="360" w:hanging="360"/>
        <w:contextualSpacing w:val="0"/>
        <w:rPr>
          <w:rFonts w:cs="Arial"/>
          <w:b/>
          <w:lang w:val="es-CL"/>
        </w:rPr>
      </w:pPr>
      <w:r w:rsidRPr="001F7BFD">
        <w:rPr>
          <w:rFonts w:eastAsia="Calibri"/>
          <w:spacing w:val="2"/>
          <w:lang w:val="es-CL"/>
        </w:rPr>
        <w:lastRenderedPageBreak/>
        <w:t>A. G</w:t>
      </w:r>
      <w:r w:rsidRPr="001F7BFD">
        <w:rPr>
          <w:rFonts w:eastAsia="Calibri"/>
          <w:spacing w:val="-2"/>
          <w:lang w:val="es-CL"/>
        </w:rPr>
        <w:t>E</w:t>
      </w:r>
      <w:r w:rsidRPr="001F7BFD">
        <w:rPr>
          <w:rFonts w:eastAsia="Calibri"/>
          <w:spacing w:val="-1"/>
          <w:lang w:val="es-CL"/>
        </w:rPr>
        <w:t>N</w:t>
      </w:r>
      <w:r w:rsidRPr="001F7BFD">
        <w:rPr>
          <w:rFonts w:eastAsia="Calibri"/>
          <w:spacing w:val="-2"/>
          <w:lang w:val="es-CL"/>
        </w:rPr>
        <w:t>E</w:t>
      </w:r>
      <w:r w:rsidRPr="001F7BFD">
        <w:rPr>
          <w:rFonts w:eastAsia="Calibri"/>
          <w:lang w:val="es-CL"/>
        </w:rPr>
        <w:t>RAL</w:t>
      </w:r>
      <w:r w:rsidRPr="001F7BFD">
        <w:rPr>
          <w:rFonts w:eastAsia="Calibri"/>
          <w:spacing w:val="1"/>
          <w:lang w:val="es-CL"/>
        </w:rPr>
        <w:t>ID</w:t>
      </w:r>
      <w:r w:rsidRPr="001F7BFD">
        <w:rPr>
          <w:rFonts w:eastAsia="Calibri"/>
          <w:lang w:val="es-CL"/>
        </w:rPr>
        <w:t>A</w:t>
      </w:r>
      <w:r w:rsidRPr="001F7BFD">
        <w:rPr>
          <w:rFonts w:eastAsia="Calibri"/>
          <w:spacing w:val="1"/>
          <w:lang w:val="es-CL"/>
        </w:rPr>
        <w:t>D</w:t>
      </w:r>
      <w:r w:rsidRPr="001F7BFD">
        <w:rPr>
          <w:rFonts w:eastAsia="Calibri"/>
          <w:spacing w:val="-2"/>
          <w:lang w:val="es-CL"/>
        </w:rPr>
        <w:t>E</w:t>
      </w:r>
      <w:r w:rsidRPr="001F7BFD">
        <w:rPr>
          <w:rFonts w:eastAsia="Calibri"/>
          <w:lang w:val="es-CL"/>
        </w:rPr>
        <w:t>S</w:t>
      </w:r>
    </w:p>
    <w:p w:rsidR="0048020D" w:rsidRPr="001F7BFD" w:rsidRDefault="0048020D" w:rsidP="0048020D">
      <w:pPr>
        <w:pBdr>
          <w:bottom w:val="single" w:sz="4" w:space="1" w:color="3F70AB"/>
        </w:pBdr>
        <w:rPr>
          <w:rFonts w:cs="Arial"/>
          <w:b/>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SC NUEVO PUDAHUEL vela por el uso homogéneo del total de la infraestructura, instalaciones, equipamiento y áreas disponibles en el Área de Concesión.</w:t>
      </w:r>
    </w:p>
    <w:p w:rsidR="0048020D" w:rsidRPr="001F7BFD" w:rsidRDefault="0048020D" w:rsidP="0048020D">
      <w:pPr>
        <w:ind w:right="15"/>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B. ORGANIZACIONES INVOLUCRADAS</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z w:val="22"/>
          <w:szCs w:val="22"/>
          <w:lang w:val="es-CL"/>
        </w:rPr>
        <w:t xml:space="preserve">Líneas Aéreas </w:t>
      </w: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pacing w:val="-3"/>
          <w:sz w:val="22"/>
          <w:szCs w:val="22"/>
          <w:lang w:val="es-CL" w:eastAsia="es-ES"/>
        </w:rPr>
        <w:t>SC NUEVO PUDAHUEL</w:t>
      </w:r>
    </w:p>
    <w:p w:rsidR="0048020D" w:rsidRPr="001F7BFD" w:rsidRDefault="0048020D" w:rsidP="0048020D">
      <w:pPr>
        <w:ind w:right="15"/>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C. PROCEDIMIENTO</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78"/>
        <w:contextualSpacing w:val="0"/>
        <w:rPr>
          <w:rFonts w:cs="Arial"/>
          <w:b/>
          <w:caps/>
          <w:sz w:val="22"/>
          <w:szCs w:val="22"/>
          <w:lang w:val="es-CL"/>
        </w:rPr>
      </w:pPr>
      <w:r w:rsidRPr="001F7BFD">
        <w:rPr>
          <w:rFonts w:cs="Arial"/>
          <w:b/>
          <w:caps/>
          <w:sz w:val="22"/>
          <w:szCs w:val="22"/>
          <w:lang w:val="es-CL"/>
        </w:rPr>
        <w:t>IntroducciÓn</w:t>
      </w:r>
    </w:p>
    <w:p w:rsidR="0048020D" w:rsidRPr="001F7BFD" w:rsidRDefault="0048020D" w:rsidP="0048020D">
      <w:pPr>
        <w:ind w:left="18"/>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El Aeropuerto Internacional de Santiago cuenta con un sistema de uso común para el procesamiento de pasajeros (CUPPS y CUSS) opera</w:t>
      </w:r>
      <w:r w:rsidR="001F7BFD">
        <w:rPr>
          <w:rFonts w:cs="Arial"/>
          <w:sz w:val="22"/>
          <w:szCs w:val="22"/>
          <w:lang w:val="es-CL"/>
        </w:rPr>
        <w:t>do en el marco de una subconcesió</w:t>
      </w:r>
      <w:r w:rsidRPr="001F7BFD">
        <w:rPr>
          <w:rFonts w:cs="Arial"/>
          <w:sz w:val="22"/>
          <w:szCs w:val="22"/>
          <w:lang w:val="es-CL"/>
        </w:rPr>
        <w:t>n.</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CUPPS incluye, entre otros equipamientos, computadores, impresoras de documentos (DCP) ; impresoras de pases de abordar (ATB) ; de etiquetas de maletas (BTP); lectores de código de barra (LSR), lectores de puerta de embarque (BGR); teclados con lectores de documentos  y servidores. Los computadores y periféricos se encuentran en los mostradores de facturación (check-in) disponibles en el aeropuerto, en los mostradores de embarque y en los de llegada. </w:t>
      </w:r>
      <w:r w:rsidR="001F7BFD" w:rsidRPr="001F7BFD">
        <w:rPr>
          <w:rFonts w:cs="Arial"/>
          <w:sz w:val="22"/>
          <w:szCs w:val="22"/>
          <w:lang w:val="es-CL"/>
        </w:rPr>
        <w:t>Además,</w:t>
      </w:r>
      <w:r w:rsidRPr="001F7BFD">
        <w:rPr>
          <w:rFonts w:cs="Arial"/>
          <w:sz w:val="22"/>
          <w:szCs w:val="22"/>
          <w:lang w:val="es-CL"/>
        </w:rPr>
        <w:t xml:space="preserve"> existen cuarenta y ocho quioscos de facturación auto-asistida de uso común (CUSS), los que utilizan los mismos servidores.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Todas las líneas aéreas que utilizan la infraestructura de uso común para el procesamiento de pasajeros, tienen acceso a sus aplicaciones de DCS (Sistema de Control de Salidas) y otras aplicaciones propias, desde los computadores ubicados en las zonas de facturación (check-in), en los mostradores de embarque y en los de llegada.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92"/>
        <w:contextualSpacing w:val="0"/>
        <w:rPr>
          <w:rFonts w:cs="Arial"/>
          <w:b/>
          <w:caps/>
          <w:sz w:val="22"/>
          <w:szCs w:val="22"/>
          <w:lang w:val="es-CL"/>
        </w:rPr>
      </w:pPr>
      <w:r w:rsidRPr="001F7BFD">
        <w:rPr>
          <w:rFonts w:cs="Arial"/>
          <w:b/>
          <w:caps/>
          <w:sz w:val="22"/>
          <w:szCs w:val="22"/>
          <w:lang w:val="es-CL"/>
        </w:rPr>
        <w:t>TARIFA Y MECANISMO DE DISTRIBUCION de cobro</w:t>
      </w:r>
    </w:p>
    <w:p w:rsidR="0048020D" w:rsidRPr="001F7BFD" w:rsidRDefault="0048020D" w:rsidP="0048020D">
      <w:pPr>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Mensualmente, la Concesionaria cobrará </w:t>
      </w:r>
      <w:r w:rsidR="001F7BFD" w:rsidRPr="001F7BFD">
        <w:rPr>
          <w:rFonts w:cs="Arial"/>
          <w:sz w:val="22"/>
          <w:szCs w:val="22"/>
          <w:lang w:val="es-CL"/>
        </w:rPr>
        <w:t>vía</w:t>
      </w:r>
      <w:r w:rsidRPr="001F7BFD">
        <w:rPr>
          <w:rFonts w:cs="Arial"/>
          <w:sz w:val="22"/>
          <w:szCs w:val="22"/>
          <w:lang w:val="es-CL"/>
        </w:rPr>
        <w:t xml:space="preserve"> la empresa subconcesionaria prestando el servicio al conjunto de las aerolíneas la tarifa vigente establecida por el servicio de procesamiento de pasajeros y equipajes con un máximo de 0,02 Unidades de Fomento por pasajero embarcado más IVA. El monto mensual “M” que resulte del producto de la tarifa vigente (IVA incluido) por el número de pasajeros embarcados del mes se distribuirá entre las distintas aerolíneas que usan el servicio de la siguiente forma: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monto mensual M </w:t>
      </w:r>
      <w:r w:rsidR="001F7BFD" w:rsidRPr="001F7BFD">
        <w:rPr>
          <w:rFonts w:cs="Arial"/>
          <w:sz w:val="22"/>
          <w:szCs w:val="22"/>
          <w:lang w:val="es-CL"/>
        </w:rPr>
        <w:t>será</w:t>
      </w:r>
      <w:r w:rsidRPr="001F7BFD">
        <w:rPr>
          <w:rFonts w:cs="Arial"/>
          <w:sz w:val="22"/>
          <w:szCs w:val="22"/>
          <w:lang w:val="es-CL"/>
        </w:rPr>
        <w:t xml:space="preserve"> dividido en tres partes según el costo aproximado de operación (amortización incluida) </w:t>
      </w:r>
      <w:r w:rsidR="001F7BFD" w:rsidRPr="001F7BFD">
        <w:rPr>
          <w:rFonts w:cs="Arial"/>
          <w:sz w:val="22"/>
          <w:szCs w:val="22"/>
          <w:lang w:val="es-CL"/>
        </w:rPr>
        <w:t xml:space="preserve">de </w:t>
      </w:r>
      <w:r w:rsidR="001F7BFD" w:rsidRPr="001F7BFD" w:rsidDel="0088119C">
        <w:rPr>
          <w:rFonts w:cs="Arial"/>
          <w:sz w:val="22"/>
          <w:szCs w:val="22"/>
          <w:lang w:val="es-CL"/>
        </w:rPr>
        <w:t>cada</w:t>
      </w:r>
      <w:r w:rsidRPr="001F7BFD">
        <w:rPr>
          <w:rFonts w:cs="Arial"/>
          <w:sz w:val="22"/>
          <w:szCs w:val="22"/>
          <w:lang w:val="es-CL"/>
        </w:rPr>
        <w:t xml:space="preserve"> uno de los tres subsistemas:</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correspondiente a la zona check-in: M1 = 48% x M </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de las zonas de embarque y </w:t>
      </w:r>
      <w:r w:rsidR="001F7BFD" w:rsidRPr="001F7BFD">
        <w:rPr>
          <w:rFonts w:cs="Arial"/>
          <w:sz w:val="22"/>
          <w:szCs w:val="22"/>
          <w:lang w:val="es-CL"/>
        </w:rPr>
        <w:t>llegada:</w:t>
      </w:r>
      <w:r w:rsidRPr="001F7BFD">
        <w:rPr>
          <w:rFonts w:cs="Arial"/>
          <w:sz w:val="22"/>
          <w:szCs w:val="22"/>
          <w:lang w:val="es-CL"/>
        </w:rPr>
        <w:t xml:space="preserve"> M2 = 30% x M</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El de quioscos (CUSS</w:t>
      </w:r>
      <w:r w:rsidR="00712FE8" w:rsidRPr="001F7BFD">
        <w:rPr>
          <w:rFonts w:cs="Arial"/>
          <w:sz w:val="22"/>
          <w:szCs w:val="22"/>
          <w:lang w:val="es-CL"/>
        </w:rPr>
        <w:t>):</w:t>
      </w:r>
      <w:r w:rsidRPr="001F7BFD">
        <w:rPr>
          <w:rFonts w:cs="Arial"/>
          <w:sz w:val="22"/>
          <w:szCs w:val="22"/>
          <w:lang w:val="es-CL"/>
        </w:rPr>
        <w:t xml:space="preserve"> M3 = 22% x M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fin de promover la eficiencia del procesamiento de pasajeros, los montos M1, M2 y M3 se distribuirán entre las distintas líneas aéreas de la siguiente forma;</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CUPPS contabilizara el tiempo de duración de cada una de las sesiones en que los empleados de las distintas líneas aéreas acceden a los DCS, en cada uno de los computadores. Estos minutos </w:t>
      </w:r>
      <w:r w:rsidR="001F7BFD" w:rsidRPr="001F7BFD">
        <w:rPr>
          <w:rFonts w:cs="Arial"/>
          <w:sz w:val="22"/>
          <w:szCs w:val="22"/>
          <w:lang w:val="es-CL"/>
        </w:rPr>
        <w:t>serán</w:t>
      </w:r>
      <w:r w:rsidRPr="001F7BFD">
        <w:rPr>
          <w:rFonts w:cs="Arial"/>
          <w:sz w:val="22"/>
          <w:szCs w:val="22"/>
          <w:lang w:val="es-CL"/>
        </w:rPr>
        <w:t xml:space="preserve"> sumados para cada línea aérea, cada mes.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M1 correspondiente al subsistema de facturación (check-in) </w:t>
      </w:r>
      <w:r w:rsidR="001F7BFD" w:rsidRPr="001F7BFD">
        <w:rPr>
          <w:rFonts w:cs="Arial"/>
          <w:sz w:val="22"/>
          <w:szCs w:val="22"/>
          <w:lang w:val="es-CL"/>
        </w:rPr>
        <w:t>será</w:t>
      </w:r>
      <w:r w:rsidRPr="001F7BFD">
        <w:rPr>
          <w:rFonts w:cs="Arial"/>
          <w:sz w:val="22"/>
          <w:szCs w:val="22"/>
          <w:lang w:val="es-CL"/>
        </w:rPr>
        <w:t xml:space="preserve"> entonces repartido entre las líneas aéreas en proporción a los minutos usados en las sesiones de sus empleados. Se definirá un periodo punta durante el cual el tiempo de utilización del subsistema será ponderado por el factor 1,15. A partir del 1 de octubre de 2015, la tarifa punta será vigente de las 18:00 a las 23:00 horas del dia. Dicha tarifa punta podrá ser modificada por el Concesionario de acuerdo a la asignación efectiva de los mostradores de check in.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M2 correspondiente al subsistema de embarque y llegada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sus empleados.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CUSS contabilizara los minutos de las sesiones de los usuarios, que en este caso son pasajeros, desde que el usuario selecciona la aplicación de su línea aérea, hasta que la pantalla vuelve al menú inicial.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M3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w:t>
      </w:r>
      <w:r w:rsidR="001F7BFD" w:rsidRPr="001F7BFD">
        <w:rPr>
          <w:rFonts w:cs="Arial"/>
          <w:sz w:val="22"/>
          <w:szCs w:val="22"/>
          <w:lang w:val="es-CL"/>
        </w:rPr>
        <w:t>sus pasajeros</w:t>
      </w:r>
      <w:r w:rsidRPr="001F7BFD">
        <w:rPr>
          <w:rFonts w:cs="Arial"/>
          <w:sz w:val="22"/>
          <w:szCs w:val="22"/>
          <w:lang w:val="es-CL"/>
        </w:rPr>
        <w:t>. Para las líneas aéreas que tengan habilitada la opción de auto etiquetado de maletas en los quioscos CUSS, el tiempo de utilización de un pasajero que use esta opción será ponderado por un factor 0,85.</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nuevo sistema de cobro por el uso de la infraestructura de procesamiento de pasajeros, cumplirá con todos los requerimientos de las Bases de Licitación (BALI), en particular del precio máximo promedio por pasajero embarcado para el total de las líneas aéreas.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64"/>
        <w:rPr>
          <w:rFonts w:cs="Arial"/>
          <w:b/>
          <w:caps/>
          <w:sz w:val="22"/>
          <w:szCs w:val="22"/>
          <w:lang w:val="es-CL"/>
        </w:rPr>
      </w:pPr>
      <w:r w:rsidRPr="001F7BFD">
        <w:rPr>
          <w:rFonts w:cs="Arial"/>
          <w:b/>
          <w:caps/>
          <w:sz w:val="22"/>
          <w:szCs w:val="22"/>
          <w:lang w:val="es-CL"/>
        </w:rPr>
        <w:t xml:space="preserve">EFICIENCIA del sistema de cobro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Al cobrar por minutos de uso, los sistemas CUPPS y CUSS generan un cobro que es aproximadamente proporcional a la cantidad de pasajeros de cada línea aérea, diferenciando sólo por la eficiencia en el uso de la infraestructura.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actual sistema de cobro, más las modificaciones proyectadas, el nuevo sistema de cobro generará una serie de incentivos positivos sobre la eficiencia en el uso de la infraestructura. Algunos de estos incentivos son los siguientes: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que las líneas aéreas reduzcan en la medida de lo posible los tiempos de facturación (check-in) de pasajeros en el aeropuerto, con medidas como capacitar a sus empleados, realizar gestión de filas y dar información a los pasajeros en la fila, en vez de en los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a las líneas aéreas a aumentar la cuota de pasajeros que usen mecanismos de facturación (check-in) de auto atención, como quioscos, web check-in o check-in móvil, los que sólo requieren ser complementados con servicios de entrega de equipaje (drop-off) en mostradores, para los pasajeros que así lo requieran. Como la entrega de equipaje (drop-off) es más rápido que la facturación (check-in) completa, hay una reducción </w:t>
      </w:r>
      <w:r w:rsidR="001F7BFD" w:rsidRPr="001F7BFD">
        <w:rPr>
          <w:rFonts w:cs="Arial"/>
          <w:sz w:val="22"/>
          <w:szCs w:val="22"/>
          <w:lang w:val="es-CL"/>
        </w:rPr>
        <w:t>en el</w:t>
      </w:r>
      <w:r w:rsidRPr="001F7BFD">
        <w:rPr>
          <w:rFonts w:cs="Arial"/>
          <w:sz w:val="22"/>
          <w:szCs w:val="22"/>
          <w:lang w:val="es-CL"/>
        </w:rPr>
        <w:t xml:space="preserve"> tiempo de procesamiento en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Al incentivar la eficiencia en los procesos de facturación (check-in) en aeropuerto, reduce el tiempo promedio de espera en fila de los pasajeros, para un patrón de llegadas fijo de los pasajeros.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Al incentivar mecanismos de auto atención de pasajeros, genera una autoselección de canales por parte de éstos, en los que los pasajeros que tienen más familiaridad con los sistemas y que requieren hacer procesos de check-in más sencillos y rápidos (por ejemplo, sin conexiones interlineales</w:t>
      </w:r>
      <w:r w:rsidR="001F7BFD" w:rsidRPr="001F7BFD">
        <w:rPr>
          <w:rFonts w:cs="Arial"/>
          <w:sz w:val="22"/>
          <w:szCs w:val="22"/>
          <w:lang w:val="es-CL"/>
        </w:rPr>
        <w:t>), no</w:t>
      </w:r>
      <w:r w:rsidRPr="001F7BFD">
        <w:rPr>
          <w:rFonts w:cs="Arial"/>
          <w:sz w:val="22"/>
          <w:szCs w:val="22"/>
          <w:lang w:val="es-CL"/>
        </w:rPr>
        <w:t xml:space="preserve"> usan los mostradores para facturar, reduciendo las filas.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Promoverá la racionalización en el uso de mostradores de facturación (check-in) durante el período punta, al ser su uso más caro que en otros períodos. De esta forma, colocará incentivos a la operación en horarios valle. Para los vuelos programados en horario punta, habrá un incentivo a las compañías aéreas para iniciar la atención de los pasajeros con antelación (en horarios valle), reduciendo las filas.</w:t>
      </w:r>
    </w:p>
    <w:p w:rsidR="00C914AC"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Al ser el costo variable, reduce los costos que tienen las líneas aéreas para comenzar una operación, promoviendo la competencia entre líneas aéreas.</w:t>
      </w:r>
    </w:p>
    <w:sectPr w:rsidR="00C914AC" w:rsidRPr="001F7BFD" w:rsidSect="00551E0B">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C8" w:rsidRDefault="00A728C8" w:rsidP="003622AF">
      <w:r>
        <w:separator/>
      </w:r>
    </w:p>
  </w:endnote>
  <w:endnote w:type="continuationSeparator" w:id="0">
    <w:p w:rsidR="00A728C8" w:rsidRDefault="00A728C8"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A6462D">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A6462D">
            <w:rPr>
              <w:rFonts w:ascii="Arial Narrow" w:hAnsi="Arial Narrow"/>
              <w:color w:val="365F91" w:themeColor="accent1" w:themeShade="BF"/>
              <w:sz w:val="16"/>
              <w:szCs w:val="16"/>
              <w:lang w:val="es-AR"/>
            </w:rPr>
            <w:t>6</w:t>
          </w:r>
        </w:p>
      </w:tc>
      <w:tc>
        <w:tcPr>
          <w:tcW w:w="2835" w:type="dxa"/>
        </w:tcPr>
        <w:p w:rsidR="00731F32" w:rsidRPr="009A2908" w:rsidRDefault="00731F32" w:rsidP="00551E0B">
          <w:pPr>
            <w:pStyle w:val="Encabezado"/>
            <w:jc w:val="center"/>
            <w:rPr>
              <w:rFonts w:ascii="Arial Narrow" w:hAnsi="Arial Narrow"/>
              <w:color w:val="244061" w:themeColor="accent1" w:themeShade="80"/>
              <w:sz w:val="16"/>
              <w:szCs w:val="16"/>
              <w:lang w:val="en-US"/>
            </w:rPr>
          </w:pPr>
        </w:p>
      </w:tc>
      <w:tc>
        <w:tcPr>
          <w:tcW w:w="3617" w:type="dxa"/>
        </w:tcPr>
        <w:p w:rsidR="00731F32" w:rsidRDefault="001F7BFD"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C662C0">
            <w:rPr>
              <w:rFonts w:ascii="Arial Narrow" w:hAnsi="Arial Narrow"/>
              <w:noProof/>
              <w:color w:val="244061" w:themeColor="accent1" w:themeShade="80"/>
              <w:sz w:val="16"/>
              <w:szCs w:val="16"/>
            </w:rPr>
            <w:t>2</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fldSimple w:instr="NUMPAGES  \* Arabic  \* MERGEFORMAT">
            <w:r w:rsidR="00C662C0" w:rsidRPr="00C662C0">
              <w:rPr>
                <w:rFonts w:ascii="Arial Narrow" w:hAnsi="Arial Narrow"/>
                <w:noProof/>
                <w:color w:val="244061" w:themeColor="accent1" w:themeShade="80"/>
                <w:sz w:val="16"/>
                <w:szCs w:val="16"/>
              </w:rPr>
              <w:t>5</w:t>
            </w:r>
          </w:fldSimple>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C8" w:rsidRDefault="00A728C8" w:rsidP="003622AF">
      <w:r>
        <w:separator/>
      </w:r>
    </w:p>
  </w:footnote>
  <w:footnote w:type="continuationSeparator" w:id="0">
    <w:p w:rsidR="00A728C8" w:rsidRDefault="00A728C8"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1701"/>
    </w:tblGrid>
    <w:tr w:rsidR="00551E0B" w:rsidRPr="00C445E1" w:rsidTr="00A65B40">
      <w:tc>
        <w:tcPr>
          <w:tcW w:w="2376" w:type="dxa"/>
          <w:vMerge w:val="restart"/>
          <w:shd w:val="clear" w:color="auto" w:fill="auto"/>
          <w:vAlign w:val="center"/>
        </w:tcPr>
        <w:p w:rsidR="00551E0B" w:rsidRPr="00B46984" w:rsidRDefault="00551E0B" w:rsidP="00A65B40">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51E0B" w:rsidRDefault="00551E0B" w:rsidP="00A65B40">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551E0B" w:rsidRPr="00C445E1" w:rsidRDefault="00551E0B" w:rsidP="00A65B40">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1" w:type="dxa"/>
          <w:tcBorders>
            <w:bottom w:val="single" w:sz="4" w:space="0" w:color="244061" w:themeColor="accent1" w:themeShade="80"/>
          </w:tcBorders>
          <w:vAlign w:val="center"/>
        </w:tcPr>
        <w:p w:rsidR="00551E0B" w:rsidRPr="00386270" w:rsidRDefault="00551E0B"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551E0B" w:rsidRPr="00731F32" w:rsidRDefault="00551E0B" w:rsidP="00551E0B">
          <w:pPr>
            <w:pStyle w:val="Encabezado"/>
            <w:ind w:right="-393"/>
            <w:rPr>
              <w:rFonts w:ascii="Arial Narrow" w:hAnsi="Arial Narrow"/>
              <w:b/>
            </w:rPr>
          </w:pPr>
          <w:r>
            <w:rPr>
              <w:noProof/>
              <w:lang w:val="es-CL" w:eastAsia="es-CL"/>
            </w:rPr>
            <w:drawing>
              <wp:anchor distT="0" distB="0" distL="114300" distR="114300" simplePos="0" relativeHeight="251658240" behindDoc="0" locked="0" layoutInCell="1" allowOverlap="1" wp14:anchorId="3F62AF62" wp14:editId="47EF2342">
                <wp:simplePos x="0" y="0"/>
                <wp:positionH relativeFrom="column">
                  <wp:posOffset>-59055</wp:posOffset>
                </wp:positionH>
                <wp:positionV relativeFrom="paragraph">
                  <wp:posOffset>-87630</wp:posOffset>
                </wp:positionV>
                <wp:extent cx="1170305" cy="323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23850"/>
                        </a:xfrm>
                        <a:prstGeom prst="rect">
                          <a:avLst/>
                        </a:prstGeom>
                        <a:noFill/>
                      </pic:spPr>
                    </pic:pic>
                  </a:graphicData>
                </a:graphic>
                <wp14:sizeRelH relativeFrom="page">
                  <wp14:pctWidth>0</wp14:pctWidth>
                </wp14:sizeRelH>
                <wp14:sizeRelV relativeFrom="page">
                  <wp14:pctHeight>0</wp14:pctHeight>
                </wp14:sizeRelV>
              </wp:anchor>
            </w:drawing>
          </w:r>
        </w:p>
      </w:tc>
    </w:tr>
    <w:tr w:rsidR="00551E0B" w:rsidRPr="00037CED" w:rsidTr="00A65B40">
      <w:tc>
        <w:tcPr>
          <w:tcW w:w="2376" w:type="dxa"/>
          <w:vMerge/>
          <w:shd w:val="clear" w:color="auto" w:fill="auto"/>
        </w:tcPr>
        <w:p w:rsidR="00551E0B" w:rsidRPr="00C445E1" w:rsidRDefault="00551E0B" w:rsidP="00731F32">
          <w:pPr>
            <w:pStyle w:val="Encabezado"/>
            <w:rPr>
              <w:rFonts w:ascii="Arial Narrow" w:hAnsi="Arial Narrow"/>
            </w:rPr>
          </w:pPr>
        </w:p>
      </w:tc>
      <w:tc>
        <w:tcPr>
          <w:tcW w:w="6521" w:type="dxa"/>
          <w:tcBorders>
            <w:top w:val="single" w:sz="4" w:space="0" w:color="244061" w:themeColor="accent1" w:themeShade="80"/>
          </w:tcBorders>
          <w:vAlign w:val="center"/>
        </w:tcPr>
        <w:p w:rsidR="00551E0B" w:rsidRPr="00147CF3" w:rsidRDefault="00551E0B" w:rsidP="00A6462D">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w:t>
          </w:r>
          <w:r w:rsidRPr="00A6462D">
            <w:rPr>
              <w:rFonts w:ascii="Arial Narrow" w:hAnsi="Arial Narrow"/>
              <w:color w:val="244061" w:themeColor="accent1" w:themeShade="80"/>
              <w:sz w:val="22"/>
              <w:szCs w:val="22"/>
              <w:lang w:val="es-AR"/>
            </w:rPr>
            <w:t>SMO DE DISTRIBUCI</w:t>
          </w:r>
          <w:r w:rsidRPr="00A6462D">
            <w:rPr>
              <w:rFonts w:ascii="Arial Narrow" w:hAnsi="Arial Narrow" w:cs="Arial"/>
              <w:color w:val="244061" w:themeColor="accent1" w:themeShade="80"/>
              <w:sz w:val="22"/>
              <w:szCs w:val="22"/>
              <w:lang w:val="es-AR"/>
            </w:rPr>
            <w:t>Ó</w:t>
          </w:r>
          <w:r w:rsidRPr="00A6462D">
            <w:rPr>
              <w:rFonts w:ascii="Arial Narrow" w:hAnsi="Arial Narrow"/>
              <w:color w:val="244061" w:themeColor="accent1" w:themeShade="80"/>
              <w:sz w:val="22"/>
              <w:szCs w:val="22"/>
              <w:lang w:val="es-AR"/>
            </w:rPr>
            <w:t>N DE COBRO</w:t>
          </w:r>
        </w:p>
      </w:tc>
      <w:tc>
        <w:tcPr>
          <w:tcW w:w="1701" w:type="dxa"/>
          <w:vMerge/>
        </w:tcPr>
        <w:p w:rsidR="00551E0B" w:rsidRPr="00D16567" w:rsidRDefault="00551E0B"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551E0B" w:rsidTr="00551E0B">
      <w:trPr>
        <w:cantSplit/>
        <w:trHeight w:val="1276"/>
      </w:trPr>
      <w:tc>
        <w:tcPr>
          <w:tcW w:w="2311" w:type="pct"/>
          <w:vAlign w:val="bottom"/>
          <w:hideMark/>
        </w:tcPr>
        <w:p w:rsidR="00551E0B" w:rsidRDefault="00551E0B" w:rsidP="00551E0B">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551E0B" w:rsidRDefault="00551E0B" w:rsidP="00551E0B">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551E0B" w:rsidRDefault="00551E0B" w:rsidP="00551E0B">
          <w:pPr>
            <w:spacing w:line="276" w:lineRule="auto"/>
            <w:ind w:left="1490"/>
            <w:jc w:val="center"/>
            <w:rPr>
              <w:rFonts w:eastAsia="Arial Unicode MS"/>
              <w:sz w:val="20"/>
              <w:szCs w:val="20"/>
              <w:lang w:val="es-CL" w:eastAsia="en-US"/>
            </w:rPr>
          </w:pPr>
        </w:p>
      </w:tc>
      <w:tc>
        <w:tcPr>
          <w:tcW w:w="2607" w:type="pct"/>
          <w:vAlign w:val="bottom"/>
          <w:hideMark/>
        </w:tcPr>
        <w:p w:rsidR="00551E0B" w:rsidRDefault="00551E0B" w:rsidP="00551E0B">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551E0B" w:rsidRPr="00551E0B" w:rsidRDefault="00551E0B">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E96B12"/>
    <w:multiLevelType w:val="hybridMultilevel"/>
    <w:tmpl w:val="A8A2BFC6"/>
    <w:lvl w:ilvl="0" w:tplc="BB2862B2">
      <w:start w:val="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3"/>
  </w:num>
  <w:num w:numId="3">
    <w:abstractNumId w:val="0"/>
  </w:num>
  <w:num w:numId="4">
    <w:abstractNumId w:val="22"/>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9"/>
  </w:num>
  <w:num w:numId="20">
    <w:abstractNumId w:val="16"/>
  </w:num>
  <w:num w:numId="21">
    <w:abstractNumId w:val="20"/>
  </w:num>
  <w:num w:numId="22">
    <w:abstractNumId w:val="6"/>
  </w:num>
  <w:num w:numId="23">
    <w:abstractNumId w:val="7"/>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6122"/>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1F7BFD"/>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17BD1"/>
    <w:rsid w:val="00321CDB"/>
    <w:rsid w:val="00324A8F"/>
    <w:rsid w:val="00325773"/>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020D"/>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E7F11"/>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1E0B"/>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11A7"/>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2FE8"/>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54D3"/>
    <w:rsid w:val="008C65D3"/>
    <w:rsid w:val="008C7200"/>
    <w:rsid w:val="008D5C5B"/>
    <w:rsid w:val="008D6888"/>
    <w:rsid w:val="008E0678"/>
    <w:rsid w:val="008E2E71"/>
    <w:rsid w:val="008E5F40"/>
    <w:rsid w:val="008F169C"/>
    <w:rsid w:val="008F25E0"/>
    <w:rsid w:val="008F3C17"/>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5B40"/>
    <w:rsid w:val="00A6652F"/>
    <w:rsid w:val="00A66B91"/>
    <w:rsid w:val="00A67C91"/>
    <w:rsid w:val="00A67D1C"/>
    <w:rsid w:val="00A72287"/>
    <w:rsid w:val="00A728C8"/>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662C0"/>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300E"/>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0EE3"/>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0780F"/>
    <w:rsid w:val="00E13CFA"/>
    <w:rsid w:val="00E1647D"/>
    <w:rsid w:val="00E16E5F"/>
    <w:rsid w:val="00E20CAF"/>
    <w:rsid w:val="00E20FC6"/>
    <w:rsid w:val="00E2154D"/>
    <w:rsid w:val="00E24505"/>
    <w:rsid w:val="00E31133"/>
    <w:rsid w:val="00E33568"/>
    <w:rsid w:val="00E3459B"/>
    <w:rsid w:val="00E3525F"/>
    <w:rsid w:val="00E376CF"/>
    <w:rsid w:val="00E42ADB"/>
    <w:rsid w:val="00E4384B"/>
    <w:rsid w:val="00E441B2"/>
    <w:rsid w:val="00E47C4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013F"/>
    <w:rsid w:val="00FB50FD"/>
    <w:rsid w:val="00FB5435"/>
    <w:rsid w:val="00FB7E04"/>
    <w:rsid w:val="00FC1500"/>
    <w:rsid w:val="00FC202B"/>
    <w:rsid w:val="00FD1B90"/>
    <w:rsid w:val="00FD38C3"/>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905C94-1D50-4237-8C04-A257C8A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6911A7"/>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341">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595936332">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F6433-1ADA-4C9C-A123-181516340BE4}"/>
</file>

<file path=customXml/itemProps2.xml><?xml version="1.0" encoding="utf-8"?>
<ds:datastoreItem xmlns:ds="http://schemas.openxmlformats.org/officeDocument/2006/customXml" ds:itemID="{3E2CA3BF-3224-4459-89AC-BF2049393DEB}"/>
</file>

<file path=customXml/itemProps3.xml><?xml version="1.0" encoding="utf-8"?>
<ds:datastoreItem xmlns:ds="http://schemas.openxmlformats.org/officeDocument/2006/customXml" ds:itemID="{15DE6B24-A93C-4414-BC2C-75F0882E8A2B}"/>
</file>

<file path=customXml/itemProps4.xml><?xml version="1.0" encoding="utf-8"?>
<ds:datastoreItem xmlns:ds="http://schemas.openxmlformats.org/officeDocument/2006/customXml" ds:itemID="{4C94831D-C83D-4DF6-90BE-95E7751EE584}"/>
</file>

<file path=docProps/app.xml><?xml version="1.0" encoding="utf-8"?>
<Properties xmlns="http://schemas.openxmlformats.org/officeDocument/2006/extended-properties" xmlns:vt="http://schemas.openxmlformats.org/officeDocument/2006/docPropsVTypes">
  <Template>Normal</Template>
  <TotalTime>48</TotalTime>
  <Pages>5</Pages>
  <Words>1266</Words>
  <Characters>6964</Characters>
  <Application>Microsoft Office Word</Application>
  <DocSecurity>0</DocSecurity>
  <Lines>58</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12</cp:revision>
  <cp:lastPrinted>2015-06-08T13:51:00Z</cp:lastPrinted>
  <dcterms:created xsi:type="dcterms:W3CDTF">2015-10-01T02:51:00Z</dcterms:created>
  <dcterms:modified xsi:type="dcterms:W3CDTF">2017-07-05T16:04:00Z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